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="360" w:lineRule="auto"/>
        <w:ind w:left="705" w:firstLine="0"/>
        <w:jc w:val="center"/>
        <w:rPr>
          <w:sz w:val="34"/>
          <w:szCs w:val="34"/>
        </w:rPr>
      </w:pPr>
      <w:bookmarkStart w:colFirst="0" w:colLast="0" w:name="_t6g7jcuc29sa" w:id="0"/>
      <w:bookmarkEnd w:id="0"/>
      <w:r w:rsidDel="00000000" w:rsidR="00000000" w:rsidRPr="00000000">
        <w:rPr>
          <w:sz w:val="36"/>
          <w:szCs w:val="36"/>
          <w:rtl w:val="0"/>
        </w:rPr>
        <w:t xml:space="preserve">Payment Fraud Radar Checklist</w:t>
      </w:r>
      <w:r w:rsidDel="00000000" w:rsidR="00000000" w:rsidRPr="00000000">
        <w:rPr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Style w:val="Heading1"/>
        <w:spacing w:before="0" w:line="360" w:lineRule="auto"/>
        <w:ind w:left="705" w:firstLine="0"/>
        <w:jc w:val="center"/>
        <w:rPr/>
      </w:pPr>
      <w:bookmarkStart w:colFirst="0" w:colLast="0" w:name="_c40s0nlljx4z" w:id="1"/>
      <w:bookmarkEnd w:id="1"/>
      <w:r w:rsidDel="00000000" w:rsidR="00000000" w:rsidRPr="00000000">
        <w:rPr>
          <w:sz w:val="34"/>
          <w:szCs w:val="34"/>
          <w:rtl w:val="0"/>
        </w:rPr>
        <w:t xml:space="preserve">(for Small &amp; Mid-Sized Businesses)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360" w:lineRule="auto"/>
        <w:ind w:left="705" w:firstLine="0"/>
        <w:rPr>
          <w:i w:val="1"/>
          <w:iCs w:val="1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How to use</w:t>
      </w:r>
      <w:r w:rsidDel="00000000" w:rsidR="00000000" w:rsidRPr="00000000">
        <w:rPr>
          <w:i w:val="1"/>
          <w:iCs w:val="1"/>
          <w:rtl w:val="0"/>
        </w:rPr>
        <w:t xml:space="preserve">: 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360" w:lineRule="auto"/>
        <w:ind w:left="1440" w:hanging="360"/>
        <w:rPr>
          <w:i w:val="1"/>
          <w:iCs w:val="1"/>
          <w:sz w:val="22"/>
          <w:szCs w:val="22"/>
        </w:rPr>
      </w:pPr>
      <w:r w:rsidDel="00000000" w:rsidR="00000000" w:rsidRPr="00000000">
        <w:rPr>
          <w:rFonts w:ascii="Arial Unicode MS" w:cs="Arial Unicode MS" w:eastAsia="Arial Unicode MS" w:hAnsi="Arial Unicode MS"/>
          <w:i w:val="1"/>
          <w:iCs w:val="1"/>
          <w:sz w:val="22"/>
          <w:szCs w:val="22"/>
          <w:rtl w:val="0"/>
        </w:rPr>
        <w:t xml:space="preserve">Run a quick huddle (≤15 minutes).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440" w:hanging="360"/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For each item, circle Yes / Partly / No and assign an Owner and Due date.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0" w:line="360" w:lineRule="auto"/>
        <w:ind w:left="720" w:firstLine="0"/>
        <w:rPr>
          <w:i w:val="1"/>
          <w:iCs w:val="1"/>
          <w:sz w:val="22"/>
          <w:szCs w:val="22"/>
        </w:rPr>
      </w:pPr>
      <w:r w:rsidDel="00000000" w:rsidR="00000000" w:rsidRPr="00000000">
        <w:rPr>
          <w:i w:val="1"/>
          <w:iCs w:val="1"/>
          <w:sz w:val="22"/>
          <w:szCs w:val="22"/>
          <w:rtl w:val="0"/>
        </w:rPr>
        <w:t xml:space="preserve">Scoring: Yes = 2, Partly = 1, No = 0. Sum your score and use the action plan.</w:t>
      </w:r>
    </w:p>
    <w:p w:rsidR="00000000" w:rsidDel="00000000" w:rsidP="00000000" w:rsidRDefault="00000000" w:rsidRPr="00000000" w14:paraId="00000007">
      <w:pPr>
        <w:spacing w:before="0" w:line="360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943600" cy="254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705" w:firstLine="0"/>
        <w:rPr/>
      </w:pPr>
      <w:bookmarkStart w:colFirst="0" w:colLast="0" w:name="_2pxo1vukby6c" w:id="2"/>
      <w:bookmarkEnd w:id="2"/>
      <w:r w:rsidDel="00000000" w:rsidR="00000000" w:rsidRPr="00000000">
        <w:rPr>
          <w:rtl w:val="0"/>
        </w:rPr>
        <w:t xml:space="preserve">Section A — </w:t>
      </w:r>
      <w:r w:rsidDel="00000000" w:rsidR="00000000" w:rsidRPr="00000000">
        <w:rPr>
          <w:rtl w:val="0"/>
        </w:rPr>
        <w:t xml:space="preserve">Must-Pass Gates (Stoplight Items):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Vendor identity verified independently?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br w:type="textWrapping"/>
        <w:t xml:space="preserve">☐ Yes ☐ Partly ☐ No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before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Dual approval for payments over threshold</w:t>
      </w:r>
      <w:r w:rsidDel="00000000" w:rsidR="00000000" w:rsidRPr="00000000">
        <w:rPr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="360" w:lineRule="auto"/>
        <w:ind w:left="144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="36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Payee on approved vendor list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Partly ☐ No</w:t>
      </w:r>
    </w:p>
    <w:p w:rsidR="00000000" w:rsidDel="00000000" w:rsidP="00000000" w:rsidRDefault="00000000" w:rsidRPr="00000000" w14:paraId="0000000D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at4h4dtk0w2t" w:id="3"/>
      <w:bookmarkEnd w:id="3"/>
      <w:r w:rsidDel="00000000" w:rsidR="00000000" w:rsidRPr="00000000">
        <w:rPr>
          <w:sz w:val="34"/>
          <w:szCs w:val="34"/>
          <w:rtl w:val="0"/>
        </w:rPr>
        <w:t xml:space="preserve"> Section B — Verification &amp; Controls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Independent callback to confirm vendor bank details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0F">
      <w:pPr>
        <w:spacing w:before="0" w:line="360" w:lineRule="auto"/>
        <w:ind w:left="144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Cross-check invoice with purchase order and delivery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Check unusual invoice timing or rounding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12">
      <w:pPr>
        <w:spacing w:before="0" w:line="360" w:lineRule="auto"/>
        <w:ind w:left="1440" w:firstLine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 ☐</w:t>
      </w:r>
    </w:p>
    <w:p w:rsidR="00000000" w:rsidDel="00000000" w:rsidP="00000000" w:rsidRDefault="00000000" w:rsidRPr="00000000" w14:paraId="00000013">
      <w:pPr>
        <w:spacing w:before="0" w:line="36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178x9d7ajmr5" w:id="4"/>
      <w:bookmarkEnd w:id="4"/>
      <w:r w:rsidDel="00000000" w:rsidR="00000000" w:rsidRPr="00000000">
        <w:rPr>
          <w:sz w:val="34"/>
          <w:szCs w:val="34"/>
          <w:rtl w:val="0"/>
        </w:rPr>
        <w:t xml:space="preserve">Section C — Data &amp; Privacy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Ensure payment data encrypted in transit and storage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Partly ☐ No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Limit access to payment details to authorized staff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17">
      <w:pPr>
        <w:spacing w:before="0" w:line="360" w:lineRule="auto"/>
        <w:ind w:left="1440" w:firstLine="0"/>
        <w:jc w:val="both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☐ Yes ☐ Partly ☐ No</w:t>
      </w:r>
    </w:p>
    <w:p w:rsidR="00000000" w:rsidDel="00000000" w:rsidP="00000000" w:rsidRDefault="00000000" w:rsidRPr="00000000" w14:paraId="00000018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tebtg2au7ek8" w:id="5"/>
      <w:bookmarkEnd w:id="5"/>
      <w:r w:rsidDel="00000000" w:rsidR="00000000" w:rsidRPr="00000000">
        <w:rPr>
          <w:sz w:val="34"/>
          <w:szCs w:val="34"/>
          <w:rtl w:val="0"/>
        </w:rPr>
        <w:t xml:space="preserve">Section D — </w:t>
      </w:r>
      <w:r w:rsidDel="00000000" w:rsidR="00000000" w:rsidRPr="00000000">
        <w:rPr>
          <w:sz w:val="34"/>
          <w:szCs w:val="34"/>
          <w:rtl w:val="0"/>
        </w:rPr>
        <w:t xml:space="preserve">Security &amp; Access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Segregation of duties in payment approval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Partly ☐ No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Dual control for changes in vendor bank info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before="0" w:line="360" w:lineRule="auto"/>
        <w:ind w:left="1440" w:hanging="360"/>
        <w:rPr/>
      </w:pPr>
      <w:r w:rsidDel="00000000" w:rsidR="00000000" w:rsidRPr="00000000">
        <w:rPr>
          <w:rtl w:val="0"/>
        </w:rPr>
        <w:t xml:space="preserve">Alert system for unusual transaction patterns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1C">
      <w:pPr>
        <w:pStyle w:val="Heading2"/>
        <w:spacing w:after="80" w:before="360" w:line="360" w:lineRule="auto"/>
        <w:ind w:left="705" w:right="0" w:firstLine="0"/>
        <w:rPr>
          <w:sz w:val="34"/>
          <w:szCs w:val="34"/>
        </w:rPr>
      </w:pPr>
      <w:bookmarkStart w:colFirst="0" w:colLast="0" w:name="_d16rohzk88z" w:id="6"/>
      <w:bookmarkEnd w:id="6"/>
      <w:r w:rsidDel="00000000" w:rsidR="00000000" w:rsidRPr="00000000">
        <w:rPr>
          <w:sz w:val="34"/>
          <w:szCs w:val="34"/>
          <w:rtl w:val="0"/>
        </w:rPr>
        <w:t xml:space="preserve">Section E — </w:t>
      </w:r>
      <w:r w:rsidDel="00000000" w:rsidR="00000000" w:rsidRPr="00000000">
        <w:rPr>
          <w:sz w:val="34"/>
          <w:szCs w:val="34"/>
          <w:rtl w:val="0"/>
        </w:rPr>
        <w:t xml:space="preserve">Oversight &amp; Responsible Use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1440" w:hanging="360"/>
        <w:rPr>
          <w:b w:val="0"/>
          <w:bCs w:val="0"/>
          <w:sz w:val="22"/>
          <w:szCs w:val="22"/>
        </w:rPr>
      </w:pPr>
      <w:r w:rsidDel="00000000" w:rsidR="00000000" w:rsidRPr="00000000">
        <w:rPr>
          <w:rtl w:val="0"/>
        </w:rPr>
        <w:t xml:space="preserve">Quarterly review of vendor master file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☐ Yes ☐ Partly ☐ No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before="0" w:lineRule="auto"/>
        <w:ind w:left="1440" w:hanging="360"/>
        <w:rPr>
          <w:b w:val="0"/>
          <w:bCs w:val="0"/>
          <w:sz w:val="22"/>
          <w:szCs w:val="22"/>
        </w:rPr>
      </w:pPr>
      <w:r w:rsidDel="00000000" w:rsidR="00000000" w:rsidRPr="00000000">
        <w:rPr>
          <w:rtl w:val="0"/>
        </w:rPr>
        <w:t xml:space="preserve">Train staff on fraud red flags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before="0" w:lineRule="auto"/>
        <w:ind w:left="1440" w:hanging="360"/>
        <w:rPr>
          <w:b w:val="0"/>
          <w:bCs w:val="0"/>
          <w:sz w:val="22"/>
          <w:szCs w:val="22"/>
        </w:rPr>
      </w:pPr>
      <w:r w:rsidDel="00000000" w:rsidR="00000000" w:rsidRPr="00000000">
        <w:rPr>
          <w:rtl w:val="0"/>
        </w:rPr>
        <w:t xml:space="preserve">Incident response plan for payment fraud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?</w:t>
        <w:br w:type="textWrapping"/>
        <w:t xml:space="preserve"> ☐ Yes ☐ Partly ☐ No</w:t>
      </w:r>
    </w:p>
    <w:p w:rsidR="00000000" w:rsidDel="00000000" w:rsidP="00000000" w:rsidRDefault="00000000" w:rsidRPr="00000000" w14:paraId="00000020">
      <w:pPr>
        <w:pStyle w:val="Heading2"/>
        <w:spacing w:after="80" w:before="360" w:line="360" w:lineRule="auto"/>
        <w:ind w:left="705" w:right="0" w:firstLine="0"/>
        <w:rPr/>
      </w:pPr>
      <w:bookmarkStart w:colFirst="0" w:colLast="0" w:name="_6zuolph9bybi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spacing w:after="80" w:before="360" w:line="360" w:lineRule="auto"/>
        <w:ind w:left="1260" w:right="0" w:firstLine="0"/>
        <w:rPr/>
      </w:pPr>
      <w:bookmarkStart w:colFirst="0" w:colLast="0" w:name="_3ky3biv334d5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spacing w:after="80" w:before="360" w:line="360" w:lineRule="auto"/>
        <w:ind w:left="450" w:right="0" w:firstLine="269.9999999999999"/>
        <w:rPr>
          <w:sz w:val="34"/>
          <w:szCs w:val="34"/>
        </w:rPr>
      </w:pPr>
      <w:bookmarkStart w:colFirst="0" w:colLast="0" w:name="_233aqvxznr7d" w:id="9"/>
      <w:bookmarkEnd w:id="9"/>
      <w:r w:rsidDel="00000000" w:rsidR="00000000" w:rsidRPr="00000000">
        <w:rPr>
          <w:sz w:val="34"/>
          <w:szCs w:val="34"/>
          <w:rtl w:val="0"/>
        </w:rPr>
        <w:t xml:space="preserve">Scoring Evaluation: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before="240" w:line="360" w:lineRule="auto"/>
        <w:ind w:left="1440" w:hanging="360"/>
        <w:rPr/>
      </w:pPr>
      <w:r w:rsidDel="00000000" w:rsidR="00000000" w:rsidRPr="00000000">
        <w:rPr>
          <w:b w:val="1"/>
          <w:bCs w:val="1"/>
          <w:rtl w:val="0"/>
        </w:rPr>
        <w:t xml:space="preserve">32–40 (Low risk):</w:t>
      </w:r>
      <w:r w:rsidDel="00000000" w:rsidR="00000000" w:rsidRPr="00000000">
        <w:rPr>
          <w:rtl w:val="0"/>
        </w:rPr>
        <w:t xml:space="preserve"> Keep momentum. Move to the </w:t>
      </w:r>
      <w:r w:rsidDel="00000000" w:rsidR="00000000" w:rsidRPr="00000000">
        <w:rPr>
          <w:b w:val="1"/>
          <w:bCs w:val="1"/>
          <w:rtl w:val="0"/>
        </w:rPr>
        <w:t xml:space="preserve">Pro Toolkit</w:t>
      </w:r>
      <w:r w:rsidDel="00000000" w:rsidR="00000000" w:rsidRPr="00000000">
        <w:rPr>
          <w:rtl w:val="0"/>
        </w:rPr>
        <w:t xml:space="preserve"> to formalize templates.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before="0" w:line="360" w:lineRule="auto"/>
        <w:ind w:left="1440" w:hanging="360"/>
        <w:rPr/>
      </w:pPr>
      <w:r w:rsidDel="00000000" w:rsidR="00000000" w:rsidRPr="00000000">
        <w:rPr>
          <w:b w:val="1"/>
          <w:bCs w:val="1"/>
          <w:rtl w:val="0"/>
        </w:rPr>
        <w:t xml:space="preserve">20–31 (Moderate):</w:t>
      </w:r>
      <w:r w:rsidDel="00000000" w:rsidR="00000000" w:rsidRPr="00000000">
        <w:rPr>
          <w:rtl w:val="0"/>
        </w:rPr>
        <w:t xml:space="preserve"> Fix quick wins in 14 days. Schedule a 2-hour workshop.</w:t>
        <w:br w:type="textWrapping"/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line="360" w:lineRule="auto"/>
        <w:ind w:left="1440" w:hanging="360"/>
        <w:rPr/>
      </w:pPr>
      <w:r w:rsidDel="00000000" w:rsidR="00000000" w:rsidRPr="00000000">
        <w:rPr>
          <w:b w:val="1"/>
          <w:bCs w:val="1"/>
          <w:rtl w:val="0"/>
        </w:rPr>
        <w:t xml:space="preserve">0–19 (High):</w:t>
      </w:r>
      <w:r w:rsidDel="00000000" w:rsidR="00000000" w:rsidRPr="00000000">
        <w:rPr>
          <w:rtl w:val="0"/>
        </w:rPr>
        <w:t xml:space="preserve"> Freeze new AI tools; enable approvals; run a 30-day sprint to close gaps</w:t>
      </w:r>
    </w:p>
    <w:p w:rsidR="00000000" w:rsidDel="00000000" w:rsidP="00000000" w:rsidRDefault="00000000" w:rsidRPr="00000000" w14:paraId="00000027">
      <w:pPr>
        <w:spacing w:after="240" w:before="0" w:line="276" w:lineRule="auto"/>
        <w:ind w:left="0" w:firstLine="0"/>
        <w:jc w:val="center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0" w:line="276" w:lineRule="auto"/>
        <w:ind w:left="0" w:firstLine="0"/>
        <w:jc w:val="center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0" w:line="276" w:lineRule="auto"/>
        <w:ind w:left="0" w:firstLine="0"/>
        <w:jc w:val="center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0" w:line="276" w:lineRule="auto"/>
        <w:ind w:left="0" w:firstLine="0"/>
        <w:jc w:val="center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Disclaimer: Operational best practice, not legal advice.</w:t>
      </w:r>
    </w:p>
    <w:p w:rsidR="00000000" w:rsidDel="00000000" w:rsidP="00000000" w:rsidRDefault="00000000" w:rsidRPr="00000000" w14:paraId="0000002B">
      <w:pPr>
        <w:spacing w:after="240" w:before="0" w:line="276" w:lineRule="auto"/>
        <w:ind w:left="0" w:firstLine="0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0" w:line="36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144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 Unicode MS"/>
  <w:font w:name="Economic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pen Sa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5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Style w:val="Subtitle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bookmarkStart w:colFirst="0" w:colLast="0" w:name="_1dp8mb5ajzj1" w:id="10"/>
    <w:bookmarkEnd w:id="10"/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4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ind w:left="0" w:firstLine="0"/>
      <w:rPr/>
    </w:pPr>
    <w:r w:rsidDel="00000000" w:rsidR="00000000" w:rsidRPr="00000000">
      <w:rPr>
        <w:rtl w:val="0"/>
      </w:rPr>
      <w:t xml:space="preserve">© SafeAI for Business • safeaiforbusiness.com • Practical AI governance for SMEs</w:t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firstLine="75"/>
      <w:rPr>
        <w:rFonts w:ascii="Economica" w:cs="Economica" w:eastAsia="Economica" w:hAnsi="Economica"/>
      </w:rPr>
    </w:pPr>
    <w:r w:rsidDel="00000000" w:rsidR="00000000" w:rsidRPr="00000000">
      <w:rPr>
        <w:rFonts w:ascii="Economica" w:cs="Economica" w:eastAsia="Economica" w:hAnsi="Economica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0" w:line="240" w:lineRule="auto"/>
      <w:rPr>
        <w:rFonts w:ascii="Montserrat" w:cs="Montserrat" w:eastAsia="Montserrat" w:hAnsi="Montserrat"/>
        <w:color w:val="66666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104776</wp:posOffset>
          </wp:positionH>
          <wp:positionV relativeFrom="paragraph">
            <wp:posOffset>47625</wp:posOffset>
          </wp:positionV>
          <wp:extent cx="578908" cy="578908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8908" cy="57890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spacing w:before="0" w:line="240" w:lineRule="auto"/>
      <w:ind w:left="2145" w:firstLine="0"/>
      <w:jc w:val="right"/>
      <w:rPr>
        <w:rFonts w:ascii="Montserrat" w:cs="Montserrat" w:eastAsia="Montserrat" w:hAnsi="Montserrat"/>
        <w:color w:val="666666"/>
      </w:rPr>
    </w:pPr>
    <w:r w:rsidDel="00000000" w:rsidR="00000000" w:rsidRPr="00000000">
      <w:rPr>
        <w:rFonts w:ascii="Montserrat" w:cs="Montserrat" w:eastAsia="Montserrat" w:hAnsi="Montserrat"/>
        <w:color w:val="666666"/>
        <w:rtl w:val="0"/>
      </w:rPr>
      <w:t xml:space="preserve">SafeAI for Business</w:t>
    </w:r>
  </w:p>
  <w:p w:rsidR="00000000" w:rsidDel="00000000" w:rsidP="00000000" w:rsidRDefault="00000000" w:rsidRPr="00000000" w14:paraId="00000030">
    <w:pPr>
      <w:spacing w:after="0" w:before="0" w:line="240" w:lineRule="auto"/>
      <w:ind w:left="2145" w:firstLine="0"/>
      <w:jc w:val="right"/>
      <w:rPr/>
    </w:pPr>
    <w:r w:rsidDel="00000000" w:rsidR="00000000" w:rsidRPr="00000000">
      <w:rPr>
        <w:rFonts w:ascii="Montserrat" w:cs="Montserrat" w:eastAsia="Montserrat" w:hAnsi="Montserrat"/>
        <w:color w:val="666666"/>
        <w:rtl w:val="0"/>
      </w:rPr>
      <w:t xml:space="preserve">Version: v1.0 — Sep 2025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rPr/>
    </w:pPr>
    <w:r w:rsidDel="00000000" w:rsidR="00000000" w:rsidRPr="00000000">
      <w:rPr/>
      <w:drawing>
        <wp:inline distB="114300" distT="114300" distL="114300" distR="114300">
          <wp:extent cx="5943600" cy="25400"/>
          <wp:effectExtent b="0" l="0" r="0" t="0"/>
          <wp:docPr descr="horizontal line" id="3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25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sz w:val="22"/>
        <w:szCs w:val="22"/>
        <w:lang w:val="en"/>
      </w:rPr>
    </w:rPrDefault>
    <w:pPrDefault>
      <w:pPr>
        <w:spacing w:before="200" w:line="360" w:lineRule="auto"/>
        <w:ind w:left="-15" w:firstLine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ageBreakBefore w:val="0"/>
      <w:spacing w:after="0" w:lineRule="auto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after="0" w:before="480" w:line="240" w:lineRule="auto"/>
      <w:ind w:right="1785"/>
    </w:pPr>
    <w:rPr>
      <w:b w:val="1"/>
      <w:bCs w:val="1"/>
      <w:sz w:val="26"/>
      <w:szCs w:val="26"/>
    </w:rPr>
  </w:style>
  <w:style w:type="paragraph" w:styleId="Heading3">
    <w:name w:val="heading 3"/>
    <w:basedOn w:val="Normal"/>
    <w:next w:val="Normal"/>
    <w:pPr>
      <w:pageBreakBefore w:val="0"/>
    </w:pPr>
    <w:rPr>
      <w:b w:val="1"/>
      <w:bCs w:val="1"/>
      <w:color w:val="8c725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  <w:ind w:left="0" w:firstLine="15"/>
    </w:pPr>
    <w:rPr>
      <w:rFonts w:ascii="Economica" w:cs="Economica" w:eastAsia="Economica" w:hAnsi="Economica"/>
      <w:sz w:val="60"/>
      <w:szCs w:val="60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rFonts w:ascii="Economica" w:cs="Economica" w:eastAsia="Economica" w:hAnsi="Economica"/>
      <w:color w:val="99999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conomica-regular.ttf"/><Relationship Id="rId2" Type="http://schemas.openxmlformats.org/officeDocument/2006/relationships/font" Target="fonts/Economica-bold.ttf"/><Relationship Id="rId3" Type="http://schemas.openxmlformats.org/officeDocument/2006/relationships/font" Target="fonts/Economica-italic.ttf"/><Relationship Id="rId4" Type="http://schemas.openxmlformats.org/officeDocument/2006/relationships/font" Target="fonts/Economica-boldItalic.ttf"/><Relationship Id="rId11" Type="http://schemas.openxmlformats.org/officeDocument/2006/relationships/font" Target="fonts/OpenSans-italic.ttf"/><Relationship Id="rId10" Type="http://schemas.openxmlformats.org/officeDocument/2006/relationships/font" Target="fonts/OpenSans-bold.ttf"/><Relationship Id="rId12" Type="http://schemas.openxmlformats.org/officeDocument/2006/relationships/font" Target="fonts/OpenSans-boldItalic.ttf"/><Relationship Id="rId9" Type="http://schemas.openxmlformats.org/officeDocument/2006/relationships/font" Target="fonts/OpenSans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